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elvetica" w:hAnsi="Helvetica" w:cs="Helvetica"/>
          <w:sz w:val="18"/>
          <w:szCs w:val="18"/>
          <w:highlight w:val="white"/>
          <w:lang w:val="en-GB"/>
        </w:rPr>
      </w:pPr>
      <w:r>
        <w:rPr>
          <w:rFonts w:cs="Helvetica" w:ascii="Helvetica" w:hAnsi="Helvetica"/>
          <w:sz w:val="18"/>
          <w:szCs w:val="18"/>
          <w:shd w:fill="FFFFFF" w:val="clear"/>
          <w:lang w:val="en-GB"/>
        </w:rPr>
      </w:r>
    </w:p>
    <w:p>
      <w:pPr>
        <w:pStyle w:val="Normal"/>
        <w:spacing w:before="0" w:after="120"/>
        <w:jc w:val="center"/>
        <w:rPr>
          <w:rFonts w:ascii="Helvetica" w:hAnsi="Helvetica" w:cs="Helvetica"/>
          <w:b/>
          <w:b/>
          <w:color w:val="C00000"/>
          <w:sz w:val="32"/>
          <w:szCs w:val="32"/>
          <w:highlight w:val="white"/>
        </w:rPr>
      </w:pPr>
      <w:r>
        <w:rPr>
          <w:rFonts w:cs="Helvetica" w:ascii="Helvetica" w:hAnsi="Helvetica"/>
          <w:b/>
          <w:color w:val="C00000"/>
          <w:sz w:val="32"/>
          <w:szCs w:val="32"/>
          <w:shd w:fill="FFFFFF" w:val="clear"/>
        </w:rPr>
        <w:t>Konkurs Wiedzy o Anglii im. prof. Krystyny Płachty</w:t>
      </w:r>
    </w:p>
    <w:p>
      <w:pPr>
        <w:pStyle w:val="Normal"/>
        <w:spacing w:before="0" w:after="120"/>
        <w:jc w:val="center"/>
        <w:rPr>
          <w:rFonts w:ascii="Helvetica" w:hAnsi="Helvetica" w:cs="Helvetica"/>
          <w:b/>
          <w:b/>
          <w:color w:val="C00000"/>
          <w:sz w:val="32"/>
          <w:szCs w:val="32"/>
          <w:highlight w:val="white"/>
        </w:rPr>
      </w:pPr>
      <w:r>
        <w:rPr>
          <w:rFonts w:cs="Helvetica" w:ascii="Helvetica" w:hAnsi="Helvetica"/>
          <w:b/>
          <w:color w:val="C00000"/>
          <w:sz w:val="32"/>
          <w:szCs w:val="32"/>
          <w:shd w:fill="FFFFFF" w:val="clear"/>
        </w:rPr>
        <w:t>2025</w:t>
      </w:r>
    </w:p>
    <w:p>
      <w:pPr>
        <w:pStyle w:val="Normal"/>
        <w:rPr>
          <w:rFonts w:ascii="Helvetica" w:hAnsi="Helvetica" w:cs="Helvetica"/>
          <w:highlight w:val="white"/>
        </w:rPr>
      </w:pPr>
      <w:r>
        <w:rPr>
          <w:rFonts w:cs="Helvetica" w:ascii="Helvetica" w:hAnsi="Helvetica"/>
          <w:shd w:fill="FFFFFF" w:val="clear"/>
        </w:rPr>
      </w:r>
    </w:p>
    <w:p>
      <w:pPr>
        <w:pStyle w:val="Normal"/>
        <w:rPr>
          <w:rFonts w:ascii="Helvetica" w:hAnsi="Helvetica" w:cs="Helvetica"/>
          <w:highlight w:val="white"/>
        </w:rPr>
      </w:pPr>
      <w:r>
        <w:rPr>
          <w:rFonts w:cs="Helvetica" w:ascii="Helvetica" w:hAnsi="Helvetica"/>
          <w:shd w:fill="FFFFFF" w:val="clear"/>
        </w:rPr>
        <w:t>Pytania w tegorocznej edycji Konkursu Wiedzy o Anglii dotyczyć będą okresu 1901 – 1952, obejmującego panowanie Edwarda VII, Jerzego V, Edwarda VIII oraz Jerzego VI – ojca niedawno zmarłej królowej Elżbiety II. Były to niespokojne czasy wielu zmian społecznych, politycznych i ekonomicznych, dwóch wojen światowych i powolnego powrotu do spokojnego życia w nowej, powojennej rzeczywistości…</w:t>
      </w:r>
    </w:p>
    <w:p>
      <w:pPr>
        <w:pStyle w:val="Normal"/>
        <w:rPr>
          <w:rFonts w:ascii="Helvetica" w:hAnsi="Helvetica" w:cs="Helvetica"/>
          <w:highlight w:val="white"/>
        </w:rPr>
      </w:pPr>
      <w:r>
        <w:rPr>
          <w:rFonts w:cs="Helvetica" w:ascii="Helvetica" w:hAnsi="Helvetica"/>
          <w:shd w:fill="FFFFFF" w:val="clear"/>
        </w:rPr>
      </w:r>
    </w:p>
    <w:p>
      <w:pPr>
        <w:pStyle w:val="Normal"/>
        <w:jc w:val="right"/>
        <w:rPr>
          <w:lang w:eastAsia="pl-PL"/>
        </w:rPr>
      </w:pPr>
      <w:r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051685" cy="2950845"/>
            <wp:effectExtent l="0" t="0" r="0" b="0"/>
            <wp:wrapSquare wrapText="bothSides"/>
            <wp:docPr id="1" name="Picture 2" descr="King Edward VII - Hall of F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King Edward VII - Hall of Fam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226310" cy="2945130"/>
            <wp:effectExtent l="0" t="0" r="0" b="0"/>
            <wp:docPr id="2" name="Picture 3" descr="King George V and the Regiment - West Indian History, Heritage and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King George V and the Regiment - West Indian History, Heritage and Cultur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pl-PL"/>
        </w:rPr>
        <w:t xml:space="preserve"> </w:t>
      </w:r>
    </w:p>
    <w:p>
      <w:pPr>
        <w:pStyle w:val="Normal"/>
        <w:rPr>
          <w:rFonts w:ascii="Helvetica" w:hAnsi="Helvetica" w:cs="Helvetica"/>
          <w:b/>
          <w:b/>
          <w:highlight w:val="white"/>
        </w:rPr>
      </w:pPr>
      <w:r>
        <w:rPr>
          <w:rFonts w:cs="Helvetica" w:ascii="Helvetica" w:hAnsi="Helvetica"/>
          <w:b/>
          <w:shd w:fill="FFFFFF" w:val="clear"/>
        </w:rPr>
        <w:t>Edward VII</w:t>
      </w:r>
      <w:r>
        <w:rPr>
          <w:rFonts w:cs="Helvetica" w:ascii="Helvetica" w:hAnsi="Helvetica"/>
          <w:shd w:fill="FFFFFF" w:val="clear"/>
        </w:rPr>
        <w:tab/>
        <w:tab/>
        <w:tab/>
        <w:tab/>
        <w:tab/>
        <w:tab/>
        <w:tab/>
        <w:tab/>
      </w:r>
      <w:r>
        <w:rPr>
          <w:rFonts w:cs="Helvetica" w:ascii="Helvetica" w:hAnsi="Helvetica"/>
          <w:b/>
          <w:shd w:fill="FFFFFF" w:val="clear"/>
        </w:rPr>
        <w:t>George V</w:t>
      </w:r>
    </w:p>
    <w:p>
      <w:pPr>
        <w:pStyle w:val="Normal"/>
        <w:rPr>
          <w:rFonts w:ascii="Helvetica" w:hAnsi="Helvetica" w:cs="Helvetica"/>
          <w:highlight w:val="white"/>
        </w:rPr>
      </w:pPr>
      <w:r>
        <w:rPr>
          <w:rFonts w:cs="Helvetica" w:ascii="Helvetica" w:hAnsi="Helvetica"/>
          <w:shd w:fill="FFFFFF" w:val="clear"/>
        </w:rPr>
        <w:tab/>
        <w:tab/>
        <w:tab/>
      </w:r>
    </w:p>
    <w:p>
      <w:pPr>
        <w:pStyle w:val="Normal"/>
        <w:rPr>
          <w:rFonts w:ascii="Helvetica" w:hAnsi="Helvetica" w:cs="Helvetica"/>
          <w:sz w:val="18"/>
          <w:szCs w:val="18"/>
          <w:highlight w:val="white"/>
        </w:rPr>
      </w:pPr>
      <w:r>
        <w:rPr/>
        <w:drawing>
          <wp:inline distT="0" distB="0" distL="0" distR="0">
            <wp:extent cx="2144395" cy="2144395"/>
            <wp:effectExtent l="0" t="0" r="0" b="0"/>
            <wp:docPr id="3" name="Picture 1" descr="INTERESTING FACTS: WHY DID KING EDWARD VIII ABDICATE THE BRITISH THRONE |  Shravan charity 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NTERESTING FACTS: WHY DID KING EDWARD VIII ABDICATE THE BRITISH THRONE |  Shravan charity miss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Helvetica" w:ascii="Helvetica" w:hAnsi="Helvetica"/>
          <w:sz w:val="18"/>
          <w:szCs w:val="18"/>
          <w:shd w:fill="FFFFFF" w:val="clear"/>
        </w:rPr>
        <w:tab/>
        <w:tab/>
        <w:tab/>
        <w:tab/>
        <w:tab/>
      </w:r>
      <w:r>
        <w:rPr/>
        <w:drawing>
          <wp:inline distT="0" distB="0" distL="0" distR="0">
            <wp:extent cx="1638300" cy="2459990"/>
            <wp:effectExtent l="0" t="0" r="0" b="0"/>
            <wp:docPr id="4" name="Picture 4" descr="King George VI | Britroy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ing George VI | Britroyal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Helvetica" w:hAnsi="Helvetica" w:cs="Helvetica"/>
          <w:b/>
          <w:b/>
          <w:highlight w:val="white"/>
        </w:rPr>
      </w:pPr>
      <w:r>
        <w:rPr>
          <w:rFonts w:cs="Helvetica" w:ascii="Helvetica" w:hAnsi="Helvetica"/>
          <w:b/>
          <w:shd w:fill="FFFFFF" w:val="clear"/>
        </w:rPr>
        <w:t>Edward VIII</w:t>
      </w:r>
      <w:r>
        <w:rPr>
          <w:rFonts w:cs="Helvetica" w:ascii="Helvetica" w:hAnsi="Helvetica"/>
          <w:sz w:val="18"/>
          <w:szCs w:val="18"/>
          <w:shd w:fill="FFFFFF" w:val="clear"/>
        </w:rPr>
        <w:tab/>
        <w:tab/>
        <w:tab/>
        <w:tab/>
        <w:tab/>
        <w:tab/>
        <w:tab/>
        <w:tab/>
        <w:tab/>
      </w:r>
      <w:r>
        <w:rPr>
          <w:rFonts w:cs="Helvetica" w:ascii="Helvetica" w:hAnsi="Helvetica"/>
          <w:b/>
          <w:shd w:fill="FFFFFF" w:val="clear"/>
        </w:rPr>
        <w:t>George VI</w:t>
      </w:r>
    </w:p>
    <w:p>
      <w:pPr>
        <w:pStyle w:val="Normal"/>
        <w:rPr>
          <w:rFonts w:ascii="Arial" w:hAnsi="Arial" w:cs="Arial"/>
          <w:highlight w:val="white"/>
          <w:u w:val="single"/>
        </w:rPr>
      </w:pPr>
      <w:r>
        <w:rPr>
          <w:rFonts w:cs="Arial" w:ascii="Arial" w:hAnsi="Arial"/>
          <w:b/>
          <w:u w:val="single"/>
          <w:shd w:fill="FFFFFF" w:val="clear"/>
        </w:rPr>
        <w:t>Pytania konkursowe dotyczyć będą</w:t>
      </w:r>
      <w:r>
        <w:rPr>
          <w:rFonts w:cs="Arial" w:ascii="Arial" w:hAnsi="Arial"/>
          <w:u w:val="single"/>
          <w:shd w:fill="FFFFFF" w:val="clear"/>
        </w:rPr>
        <w:t>:</w:t>
      </w:r>
    </w:p>
    <w:p>
      <w:pPr>
        <w:pStyle w:val="Normal"/>
        <w:spacing w:before="0" w:after="0"/>
        <w:rPr>
          <w:rFonts w:ascii="Arial" w:hAnsi="Arial" w:cs="Arial"/>
          <w:highlight w:val="white"/>
          <w:u w:val="single"/>
        </w:rPr>
      </w:pPr>
      <w:r>
        <w:rPr>
          <w:rFonts w:cs="Arial" w:ascii="Arial" w:hAnsi="Arial"/>
          <w:u w:val="single"/>
          <w:shd w:fill="FFFFFF" w:val="clear"/>
        </w:rPr>
      </w:r>
    </w:p>
    <w:p>
      <w:pPr>
        <w:pStyle w:val="Normal"/>
        <w:spacing w:before="0" w:after="0"/>
        <w:rPr>
          <w:rFonts w:ascii="Arial" w:hAnsi="Arial" w:cs="Arial"/>
          <w:highlight w:val="white"/>
        </w:rPr>
      </w:pPr>
      <w:r>
        <w:rPr>
          <w:rFonts w:cs="Arial" w:ascii="Arial" w:hAnsi="Arial"/>
          <w:b/>
          <w:color w:val="00B050"/>
          <w:u w:val="single"/>
          <w:shd w:fill="FFFFFF" w:val="clear"/>
        </w:rPr>
        <w:t>Historia</w:t>
      </w:r>
      <w:r>
        <w:rPr>
          <w:rFonts w:cs="Arial" w:ascii="Arial" w:hAnsi="Arial"/>
          <w:b/>
          <w:color w:val="00B050"/>
          <w:shd w:fill="FFFFFF" w:val="clear"/>
        </w:rPr>
        <w:t>:</w:t>
      </w:r>
      <w:r>
        <w:rPr>
          <w:rFonts w:cs="Arial" w:ascii="Arial" w:hAnsi="Arial"/>
          <w:color w:val="00B050"/>
          <w:shd w:fill="FFFFFF" w:val="clear"/>
        </w:rPr>
        <w:t xml:space="preserve">  </w:t>
      </w:r>
      <w:r>
        <w:rPr>
          <w:rFonts w:cs="Arial" w:ascii="Arial" w:hAnsi="Arial"/>
          <w:shd w:fill="FFFFFF" w:val="clear"/>
        </w:rPr>
        <w:tab/>
        <w:t xml:space="preserve"> (prof. Janusz Podwika)</w:t>
      </w:r>
      <w:r>
        <w:rPr>
          <w:rFonts w:cs="Arial" w:ascii="Arial" w:hAnsi="Arial"/>
        </w:rPr>
        <w:br/>
      </w:r>
    </w:p>
    <w:p>
      <w:pPr>
        <w:pStyle w:val="Normal"/>
        <w:spacing w:before="0" w:after="120"/>
        <w:rPr>
          <w:rFonts w:ascii="Arial" w:hAnsi="Arial" w:cs="Arial"/>
          <w:b/>
          <w:b/>
          <w:color w:val="C00000"/>
          <w:highlight w:val="white"/>
        </w:rPr>
      </w:pPr>
      <w:r>
        <w:rPr>
          <w:rFonts w:cs="Arial" w:ascii="Arial" w:hAnsi="Arial"/>
          <w:b/>
          <w:color w:val="C00000"/>
          <w:shd w:fill="FFFFFF" w:val="clear"/>
        </w:rPr>
        <w:t>monarchowie i premierzy</w:t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</w:rPr>
        <w:t>1. Edward VII (1901 – 1910)</w:t>
      </w:r>
      <w:r>
        <w:rPr>
          <w:rFonts w:cs="Arial" w:ascii="Arial" w:hAnsi="Arial"/>
        </w:rPr>
        <w:br/>
      </w:r>
      <w:r>
        <w:rPr>
          <w:rFonts w:cs="Arial" w:ascii="Arial" w:hAnsi="Arial"/>
          <w:shd w:fill="FFFFFF" w:val="clear"/>
        </w:rPr>
        <w:t>2. Jerzy V (1910 – 1936)</w:t>
      </w:r>
      <w:r>
        <w:rPr>
          <w:rFonts w:cs="Arial" w:ascii="Arial" w:hAnsi="Arial"/>
        </w:rPr>
        <w:br/>
      </w:r>
      <w:r>
        <w:rPr>
          <w:rFonts w:cs="Arial" w:ascii="Arial" w:hAnsi="Arial"/>
          <w:shd w:fill="FFFFFF" w:val="clear"/>
        </w:rPr>
        <w:t>3. Edward VIII (1936)</w:t>
      </w:r>
      <w:r>
        <w:rPr>
          <w:rFonts w:cs="Arial" w:ascii="Arial" w:hAnsi="Arial"/>
        </w:rPr>
        <w:br/>
      </w:r>
      <w:r>
        <w:rPr>
          <w:rFonts w:cs="Arial" w:ascii="Arial" w:hAnsi="Arial"/>
          <w:shd w:fill="FFFFFF" w:val="clear"/>
        </w:rPr>
        <w:t>4. Jerzy VI (1936 – 1952)</w:t>
      </w:r>
      <w:r>
        <w:rPr>
          <w:rFonts w:cs="Arial" w:ascii="Arial" w:hAnsi="Arial"/>
        </w:rPr>
        <w:br/>
      </w:r>
      <w:r>
        <w:rPr>
          <w:rFonts w:cs="Arial" w:ascii="Arial" w:hAnsi="Arial"/>
          <w:shd w:fill="FFFFFF" w:val="clear"/>
        </w:rPr>
        <w:t xml:space="preserve">5. </w:t>
      </w:r>
      <w:r>
        <w:rPr>
          <w:rFonts w:cs="Arial" w:ascii="Arial" w:hAnsi="Arial"/>
          <w:shd w:fill="FFFFFF" w:val="clear"/>
          <w:lang w:val="en-GB"/>
        </w:rPr>
        <w:t>Arthur Balfour</w:t>
      </w:r>
      <w:r>
        <w:rPr>
          <w:rFonts w:cs="Arial" w:ascii="Arial" w:hAnsi="Arial"/>
          <w:lang w:val="en-GB"/>
        </w:rPr>
        <w:br/>
      </w:r>
      <w:r>
        <w:rPr>
          <w:rFonts w:cs="Arial" w:ascii="Arial" w:hAnsi="Arial"/>
          <w:shd w:fill="FFFFFF" w:val="clear"/>
          <w:lang w:val="en-GB"/>
        </w:rPr>
        <w:t>6. David Lloyd George</w:t>
      </w:r>
      <w:r>
        <w:rPr>
          <w:rFonts w:cs="Arial" w:ascii="Arial" w:hAnsi="Arial"/>
          <w:lang w:val="en-GB"/>
        </w:rPr>
        <w:br/>
      </w:r>
      <w:r>
        <w:rPr>
          <w:rFonts w:cs="Arial" w:ascii="Arial" w:hAnsi="Arial"/>
          <w:shd w:fill="FFFFFF" w:val="clear"/>
          <w:lang w:val="en-GB"/>
        </w:rPr>
        <w:t>7. Neville Chamberlain</w:t>
      </w:r>
      <w:r>
        <w:rPr>
          <w:rFonts w:cs="Arial" w:ascii="Arial" w:hAnsi="Arial"/>
          <w:lang w:val="en-GB"/>
        </w:rPr>
        <w:br/>
      </w:r>
      <w:r>
        <w:rPr>
          <w:rFonts w:cs="Arial" w:ascii="Arial" w:hAnsi="Arial"/>
          <w:shd w:fill="FFFFFF" w:val="clear"/>
          <w:lang w:val="en-GB"/>
        </w:rPr>
        <w:t>8. Winston Churchill</w:t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i/>
          <w:shd w:fill="FFFFFF" w:val="clear"/>
          <w:lang w:val="en-GB"/>
        </w:rPr>
        <w:t>Bibliografia: strony wikipedii</w:t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</w:r>
    </w:p>
    <w:p>
      <w:pPr>
        <w:pStyle w:val="Normal"/>
        <w:spacing w:before="0" w:after="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b/>
          <w:color w:val="00B050"/>
          <w:u w:val="single"/>
          <w:shd w:fill="FFFFFF" w:val="clear"/>
          <w:lang w:val="en-GB"/>
        </w:rPr>
        <w:t>Literatura</w:t>
      </w:r>
      <w:r>
        <w:rPr>
          <w:rFonts w:cs="Arial" w:ascii="Arial" w:hAnsi="Arial"/>
          <w:b/>
          <w:color w:val="00B050"/>
          <w:shd w:fill="FFFFFF" w:val="clear"/>
          <w:lang w:val="en-GB"/>
        </w:rPr>
        <w:t>:</w:t>
      </w:r>
      <w:r>
        <w:rPr>
          <w:rFonts w:cs="Arial" w:ascii="Arial" w:hAnsi="Arial"/>
          <w:shd w:fill="FFFFFF" w:val="clear"/>
          <w:lang w:val="en-GB"/>
        </w:rPr>
        <w:t xml:space="preserve"> </w:t>
        <w:tab/>
        <w:t>(prof. Violetta Marzec)</w:t>
      </w:r>
    </w:p>
    <w:p>
      <w:pPr>
        <w:pStyle w:val="Normal"/>
        <w:spacing w:before="0" w:after="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  <w:t xml:space="preserve">Virginia Woolf: </w:t>
      </w:r>
      <w:r>
        <w:rPr>
          <w:rFonts w:cs="Arial" w:ascii="Arial" w:hAnsi="Arial"/>
          <w:i/>
          <w:shd w:fill="FFFFFF" w:val="clear"/>
          <w:lang w:val="en-GB"/>
        </w:rPr>
        <w:t>Mrs. Dalloway; To the Lighthouse</w:t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  <w:t xml:space="preserve">Graham Greene: </w:t>
      </w:r>
      <w:r>
        <w:rPr>
          <w:rFonts w:cs="Arial" w:ascii="Arial" w:hAnsi="Arial"/>
          <w:i/>
          <w:shd w:fill="FFFFFF" w:val="clear"/>
          <w:lang w:val="en-GB"/>
        </w:rPr>
        <w:t>The Power and the Glory; The Heart of the Matter; The End of the Affair</w:t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  <w:t xml:space="preserve">Edward Morgan Forster: </w:t>
      </w:r>
      <w:r>
        <w:rPr>
          <w:rFonts w:cs="Arial" w:ascii="Arial" w:hAnsi="Arial"/>
          <w:i/>
          <w:shd w:fill="FFFFFF" w:val="clear"/>
          <w:lang w:val="en-GB"/>
        </w:rPr>
        <w:t>A Room with a View; A Passage to India; Howard’s End</w:t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  <w:t xml:space="preserve">George Orwell: </w:t>
      </w:r>
      <w:r>
        <w:rPr>
          <w:rFonts w:cs="Arial" w:ascii="Arial" w:hAnsi="Arial"/>
          <w:i/>
          <w:shd w:fill="FFFFFF" w:val="clear"/>
          <w:lang w:val="en-GB"/>
        </w:rPr>
        <w:t>Animal Farm; 1984</w:t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  <w:t xml:space="preserve">Thomas Stearns Eliot: </w:t>
      </w:r>
      <w:r>
        <w:rPr>
          <w:rFonts w:cs="Arial" w:ascii="Arial" w:hAnsi="Arial"/>
          <w:i/>
          <w:shd w:fill="FFFFFF" w:val="clear"/>
          <w:lang w:val="en-GB"/>
        </w:rPr>
        <w:t>Murder in the Cathedral; The Family Reunion; The Cocktail Party</w:t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  <w:t xml:space="preserve">Clive Staples Lewis: </w:t>
      </w:r>
      <w:r>
        <w:rPr>
          <w:rFonts w:cs="Arial" w:ascii="Arial" w:hAnsi="Arial"/>
          <w:i/>
          <w:shd w:fill="FFFFFF" w:val="clear"/>
          <w:lang w:val="en-GB"/>
        </w:rPr>
        <w:t>The Lion, the Witch and the Wardrobe; Prince Caspian</w:t>
      </w:r>
      <w:r>
        <w:rPr>
          <w:rFonts w:cs="Arial" w:ascii="Arial" w:hAnsi="Arial"/>
          <w:shd w:fill="FFFFFF" w:val="clear"/>
          <w:lang w:val="en-GB"/>
        </w:rPr>
        <w:t xml:space="preserve"> </w:t>
      </w:r>
    </w:p>
    <w:p>
      <w:pPr>
        <w:pStyle w:val="Normal"/>
        <w:spacing w:before="0" w:after="120"/>
        <w:rPr>
          <w:rFonts w:ascii="Arial" w:hAnsi="Arial" w:cs="Arial"/>
          <w:i/>
          <w:i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  <w:t xml:space="preserve">Alan Alexander Milne: </w:t>
      </w:r>
      <w:r>
        <w:rPr>
          <w:rFonts w:cs="Arial" w:ascii="Arial" w:hAnsi="Arial"/>
          <w:i/>
          <w:shd w:fill="FFFFFF" w:val="clear"/>
          <w:lang w:val="en-GB"/>
        </w:rPr>
        <w:t>Winnie-the-Pooh; The House at Pooh Corner</w:t>
      </w:r>
    </w:p>
    <w:p>
      <w:pPr>
        <w:pStyle w:val="Normal"/>
        <w:spacing w:before="0" w:after="120"/>
        <w:rPr>
          <w:rFonts w:ascii="Arial" w:hAnsi="Arial" w:cs="Arial"/>
          <w:highlight w:val="white"/>
          <w:lang w:val="en-GB"/>
        </w:rPr>
      </w:pPr>
      <w:r>
        <w:rPr>
          <w:rFonts w:cs="Arial" w:ascii="Arial" w:hAnsi="Arial"/>
          <w:shd w:fill="FFFFFF" w:val="clear"/>
          <w:lang w:val="en-GB"/>
        </w:rPr>
      </w:r>
    </w:p>
    <w:p>
      <w:pPr>
        <w:pStyle w:val="Normal"/>
        <w:spacing w:before="0" w:after="120"/>
        <w:rPr>
          <w:rFonts w:ascii="Arial" w:hAnsi="Arial" w:cs="Arial"/>
          <w:highlight w:val="white"/>
        </w:rPr>
      </w:pPr>
      <w:r>
        <w:rPr>
          <w:rFonts w:cs="Arial" w:ascii="Arial" w:hAnsi="Arial"/>
          <w:b/>
          <w:shd w:fill="FFFFFF" w:val="clear"/>
        </w:rPr>
        <w:t>Należy znać</w:t>
      </w:r>
      <w:r>
        <w:rPr>
          <w:rFonts w:cs="Arial" w:ascii="Arial" w:hAnsi="Arial"/>
          <w:shd w:fill="FFFFFF" w:val="clear"/>
        </w:rPr>
        <w:t xml:space="preserve"> polskie tłumaczenia oryginalnych tytułów, życiorys autora, imiona i nazwiska głównych postaci (w wersji polskiej i angielskiej), tematykę i zarys fabuły utworu, oraz czy był sfilmowany (reżyser / zdjęcia). W finale konkursu pytania będą ilustrowane zdjęciami / rysunkami z filmów lub książek. (</w:t>
      </w:r>
      <w:r>
        <w:rPr>
          <w:rFonts w:cs="Arial" w:ascii="Arial" w:hAnsi="Arial"/>
          <w:i/>
          <w:shd w:fill="FFFFFF" w:val="clear"/>
        </w:rPr>
        <w:t>info: Wikipedia</w:t>
      </w:r>
      <w:r>
        <w:rPr>
          <w:rFonts w:cs="Arial" w:ascii="Arial" w:hAnsi="Arial"/>
          <w:shd w:fill="FFFFFF" w:val="clear"/>
        </w:rPr>
        <w:t>)</w:t>
      </w:r>
    </w:p>
    <w:p>
      <w:pPr>
        <w:pStyle w:val="Normal"/>
        <w:spacing w:before="0" w:after="120"/>
        <w:jc w:val="center"/>
        <w:rPr>
          <w:rFonts w:ascii="Arial" w:hAnsi="Arial" w:cs="Arial"/>
          <w:highlight w:val="white"/>
        </w:rPr>
      </w:pPr>
      <w:r>
        <w:rPr/>
        <w:drawing>
          <wp:inline distT="0" distB="0" distL="0" distR="0">
            <wp:extent cx="2468880" cy="2468880"/>
            <wp:effectExtent l="0" t="0" r="0" b="0"/>
            <wp:docPr id="5" name="Picture 7" descr="Lew, Czarownica i stara szafa. Opowieści z Narnii. Tom 1. Wydanie fil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Lew, Czarownica i stara szafa. Opowieści z Narnii. Tom 1. Wydanie filmow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rPr>
          <w:rFonts w:ascii="Arial" w:hAnsi="Arial" w:cs="Arial"/>
          <w:highlight w:val="white"/>
          <w:u w:val="single"/>
        </w:rPr>
      </w:pPr>
      <w:r>
        <w:rPr>
          <w:rFonts w:cs="Arial" w:ascii="Arial" w:hAnsi="Arial"/>
          <w:u w:val="single"/>
          <w:shd w:fill="FFFFFF" w:val="clear"/>
        </w:rPr>
      </w:r>
    </w:p>
    <w:p>
      <w:pPr>
        <w:pStyle w:val="Normal"/>
        <w:spacing w:before="0" w:after="120"/>
        <w:rPr>
          <w:rFonts w:ascii="Arial" w:hAnsi="Arial" w:cs="Arial"/>
          <w:highlight w:val="white"/>
          <w:u w:val="single"/>
        </w:rPr>
      </w:pPr>
      <w:r>
        <w:rPr/>
        <mc:AlternateContent>
          <mc:Choice Requires="wps">
            <w:drawing>
              <wp:inline distT="0" distB="0" distL="0" distR="0">
                <wp:extent cx="305435" cy="30543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05pt;width:23.95pt;height:23.9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Arial" w:hAnsi="Arial" w:cs="Arial"/>
          <w:highlight w:val="white"/>
        </w:rPr>
      </w:pPr>
      <w:r>
        <w:rPr>
          <w:rFonts w:cs="Arial" w:ascii="Arial" w:hAnsi="Arial"/>
          <w:b/>
          <w:color w:val="00B050"/>
          <w:u w:val="single"/>
          <w:shd w:fill="FFFFFF" w:val="clear"/>
        </w:rPr>
        <w:t>Historia sztuki:</w:t>
      </w:r>
      <w:r>
        <w:rPr>
          <w:rFonts w:cs="Arial" w:ascii="Arial" w:hAnsi="Arial"/>
          <w:color w:val="00B050"/>
          <w:shd w:fill="FFFFFF" w:val="clear"/>
        </w:rPr>
        <w:t xml:space="preserve"> </w:t>
      </w:r>
      <w:r>
        <w:rPr>
          <w:rFonts w:cs="Arial" w:ascii="Arial" w:hAnsi="Arial"/>
          <w:shd w:fill="FFFFFF" w:val="clear"/>
        </w:rPr>
        <w:tab/>
        <w:t>(prof. Tomasz Tisończyk)</w:t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C00000"/>
        </w:rPr>
      </w:pPr>
      <w:r>
        <w:rPr>
          <w:rFonts w:cs="Arial" w:ascii="Arial" w:hAnsi="Arial"/>
          <w:b/>
          <w:color w:val="C00000"/>
        </w:rPr>
        <w:t>Sztuki plastyczne w latach 1901-1952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Sztukę początków XX w. w Anglii reprezentują malarze postimpresjonistyczni tacy jak np. </w:t>
      </w:r>
      <w:r>
        <w:rPr>
          <w:rFonts w:cs="Arial" w:ascii="Arial" w:hAnsi="Arial"/>
          <w:b/>
        </w:rPr>
        <w:t>Duncan Grant czy Vanessa Bell</w:t>
      </w:r>
      <w:r>
        <w:rPr>
          <w:rFonts w:cs="Arial" w:ascii="Arial" w:hAnsi="Arial"/>
        </w:rPr>
        <w:t xml:space="preserve"> – artyści skupieni wokół słynnej </w:t>
      </w:r>
      <w:r>
        <w:rPr>
          <w:rFonts w:cs="Arial" w:ascii="Arial" w:hAnsi="Arial"/>
          <w:b/>
        </w:rPr>
        <w:t>Grupy Bloomsbury</w:t>
      </w:r>
      <w:r>
        <w:rPr>
          <w:rFonts w:cs="Arial" w:ascii="Arial" w:hAnsi="Arial"/>
        </w:rPr>
        <w:t xml:space="preserve">. W pierwszej dekadzie XX w. powstaje również kierunek artystyczny zwany </w:t>
      </w:r>
      <w:r>
        <w:rPr>
          <w:rFonts w:cs="Arial" w:ascii="Arial" w:hAnsi="Arial"/>
          <w:b/>
        </w:rPr>
        <w:t>wortycyzmem</w:t>
      </w:r>
      <w:r>
        <w:rPr>
          <w:rFonts w:cs="Arial" w:ascii="Arial" w:hAnsi="Arial"/>
        </w:rPr>
        <w:t xml:space="preserve"> – był to kierunek awangardowej sztuki reprezentowany przez takich artystów jak np. </w:t>
      </w:r>
      <w:r>
        <w:rPr>
          <w:rFonts w:cs="Arial" w:ascii="Arial" w:hAnsi="Arial"/>
          <w:b/>
          <w:lang w:val="en-GB"/>
        </w:rPr>
        <w:t>Roger Fry, Jacop Epstein, Wyndham Lewis czy Jessica S. Dismorr.</w:t>
      </w:r>
      <w:r>
        <w:rPr>
          <w:rFonts w:cs="Arial" w:ascii="Arial" w:hAnsi="Arial"/>
          <w:lang w:val="en-GB"/>
        </w:rPr>
        <w:t xml:space="preserve"> </w:t>
      </w:r>
      <w:r>
        <w:rPr>
          <w:rFonts w:cs="Arial" w:ascii="Arial" w:hAnsi="Arial"/>
        </w:rPr>
        <w:t xml:space="preserve">Ciekawym zjawiskiem okresu międzywojennego jest twórczość artystyczna grupy </w:t>
      </w:r>
      <w:r>
        <w:rPr>
          <w:rFonts w:cs="Arial" w:ascii="Arial" w:hAnsi="Arial"/>
          <w:b/>
        </w:rPr>
        <w:t xml:space="preserve">„The Seven and Five Society” </w:t>
      </w:r>
      <w:r>
        <w:rPr>
          <w:rFonts w:cs="Arial" w:ascii="Arial" w:hAnsi="Arial"/>
        </w:rPr>
        <w:t>oraz ugrupowania</w:t>
      </w:r>
      <w:r>
        <w:rPr>
          <w:rFonts w:cs="Arial" w:ascii="Arial" w:hAnsi="Arial"/>
          <w:b/>
        </w:rPr>
        <w:t xml:space="preserve"> „Unit One” (np. Paul Nash, Ben Nicholson, John Amstrong, Edward Burra).</w:t>
      </w:r>
      <w:r>
        <w:rPr>
          <w:rFonts w:cs="Arial" w:ascii="Arial" w:hAnsi="Arial"/>
        </w:rPr>
        <w:t xml:space="preserve"> Światową sławę wysokiej klasy artystów uzyskali angielscy rzeźbiarze, tacy jak </w:t>
      </w:r>
      <w:r>
        <w:rPr>
          <w:rFonts w:cs="Arial" w:ascii="Arial" w:hAnsi="Arial"/>
          <w:b/>
        </w:rPr>
        <w:t>Henry Moore, Frank Dobson czy Barbara Hepworth.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ab/>
        <w:t xml:space="preserve">Powoli do życia budzi się w Anglii także architektura modernistyczna. Początki tej architektury to działalność głównie artystów-imigrantów, np. </w:t>
      </w:r>
      <w:r>
        <w:rPr>
          <w:rFonts w:cs="Arial" w:ascii="Arial" w:hAnsi="Arial"/>
          <w:b/>
        </w:rPr>
        <w:t>Bertholda Lubetkina</w:t>
      </w:r>
      <w:r>
        <w:rPr>
          <w:rFonts w:cs="Arial" w:ascii="Arial" w:hAnsi="Arial"/>
        </w:rPr>
        <w:t xml:space="preserve">. Do czołowych przedstawicieli architektury I poł. XX w. zaliczyć należy także np. </w:t>
      </w:r>
      <w:r>
        <w:rPr>
          <w:rFonts w:cs="Arial" w:ascii="Arial" w:hAnsi="Arial"/>
          <w:b/>
        </w:rPr>
        <w:t xml:space="preserve">Ove Arupa, sir Johna Leslie Martina, Edwina Maxwella Fry’a czy Alison i Petera Smithsonów.  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20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4235450" cy="4328160"/>
            <wp:effectExtent l="0" t="0" r="0" b="0"/>
            <wp:docPr id="7" name="Picture 8" descr="Henry Moore Studios &amp; Gardens - Scala Arts &amp; Heritage Publishers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Henry Moore Studios &amp; Gardens - Scala Arts &amp; Heritage Publishers Lt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7212c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d70c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d70c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721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0d70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0d70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4E37-C75B-4A60-B855-8DACEB9D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LibreOffice/6.4.1.2$Windows_X86_64 LibreOffice_project/4d224e95b98b138af42a64d84056446d09082932</Application>
  <Pages>2</Pages>
  <Words>396</Words>
  <Characters>2356</Characters>
  <CharactersWithSpaces>2771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2024-09-24T15:16:00Z</dcterms:created>
  <dc:creator>Użytkownik systemu Windows</dc:creator>
  <dc:description/>
  <dc:language>pl-PL</dc:language>
  <cp:lastModifiedBy>Użytkownik systemu Windows</cp:lastModifiedBy>
  <dcterms:modified xsi:type="dcterms:W3CDTF">2024-10-01T17:18:00Z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